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577D3FF8" w:rsidR="003C33B5" w:rsidRPr="00164558" w:rsidRDefault="00343BD7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DP468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700220F4" w:rsidR="00255098" w:rsidRPr="00164558" w:rsidRDefault="00343B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DP468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12936D3C" w:rsidR="00255098" w:rsidRPr="00E478F0" w:rsidRDefault="00E478F0" w:rsidP="00E478F0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E478F0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680085004683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2284B3E2" w:rsidR="00255098" w:rsidRPr="00E8593A" w:rsidRDefault="00E8593A" w:rsidP="00E8593A">
            <w:pPr>
              <w:rPr>
                <w:rFonts w:asciiTheme="majorHAnsi" w:eastAsia="Times New Roman" w:hAnsiTheme="majorHAnsi" w:cstheme="majorHAnsi"/>
                <w:color w:val="666666"/>
                <w:sz w:val="20"/>
                <w:szCs w:val="20"/>
              </w:rPr>
            </w:pPr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When you go mobile, the </w:t>
            </w:r>
            <w:proofErr w:type="spellStart"/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>DocketPORT</w:t>
            </w:r>
            <w:proofErr w:type="spellEnd"/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468 goes with you.</w:t>
            </w:r>
            <w:r w:rsidRPr="00E8593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Its USB powered and its</w:t>
            </w:r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compact footprint ensures it fits </w:t>
            </w:r>
            <w:r w:rsidRPr="00E8593A">
              <w:rPr>
                <w:rFonts w:asciiTheme="majorHAnsi" w:eastAsia="Times New Roman" w:hAnsiTheme="majorHAnsi" w:cstheme="majorHAnsi"/>
                <w:sz w:val="20"/>
                <w:szCs w:val="20"/>
              </w:rPr>
              <w:t>practically anywhere.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73972D0F" w:rsidR="00255098" w:rsidRPr="00E8593A" w:rsidRDefault="00A11CB9" w:rsidP="00A11CB9">
            <w:pPr>
              <w:rPr>
                <w:rFonts w:asciiTheme="majorHAnsi" w:eastAsia="Times New Roman" w:hAnsiTheme="majorHAnsi" w:cstheme="majorHAnsi"/>
                <w:color w:val="666666"/>
                <w:sz w:val="20"/>
                <w:szCs w:val="20"/>
              </w:rPr>
            </w:pPr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When you go mobile, the </w:t>
            </w:r>
            <w:proofErr w:type="spellStart"/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>DocketPORT</w:t>
            </w:r>
            <w:proofErr w:type="spellEnd"/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468 goes with you. It’s USB-powered, so you’ll never need to search for an outlet.</w:t>
            </w:r>
            <w:r w:rsidRPr="00E8593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Its</w:t>
            </w:r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compact footprint</w:t>
            </w:r>
            <w:r w:rsidRPr="00E8593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also</w:t>
            </w:r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ensures it fits on cramped desks, busy registration areas and mobile cart</w:t>
            </w:r>
            <w:r w:rsidRPr="00E8593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s, and its industrial design makes sure it </w:t>
            </w:r>
            <w:r w:rsidRPr="002F5A37">
              <w:rPr>
                <w:rFonts w:asciiTheme="majorHAnsi" w:eastAsia="Times New Roman" w:hAnsiTheme="majorHAnsi" w:cstheme="majorHAnsi"/>
                <w:sz w:val="20"/>
                <w:szCs w:val="20"/>
              </w:rPr>
              <w:t>stands up to continuous use.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1954763B" w14:textId="4E421233" w:rsidR="00555223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Ultra-Compact Footprint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 xml:space="preserve">At about the size of a three-hole punch, the </w:t>
            </w:r>
            <w:proofErr w:type="spellStart"/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DocketPORT</w:t>
            </w:r>
            <w:proofErr w:type="spellEnd"/>
            <w:r w:rsidRPr="00957634">
              <w:rPr>
                <w:rFonts w:asciiTheme="majorHAnsi" w:hAnsiTheme="majorHAnsi" w:cstheme="majorHAnsi"/>
                <w:sz w:val="20"/>
                <w:szCs w:val="20"/>
              </w:rPr>
              <w:t xml:space="preserve"> 468 takes up far less space than flatbed scanners. That makes it perfect for crowded desks and mobile users.</w:t>
            </w:r>
          </w:p>
          <w:p w14:paraId="28DB5F71" w14:textId="07FAB36A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USB-Powered Convenience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Because it's powered by your computer's USB port, you'll never search for an outlet or carry a bulky AC adapter again.</w:t>
            </w:r>
          </w:p>
          <w:p w14:paraId="20376525" w14:textId="6CBE1DE2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Superior Media Handling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Easily handles piles of paper documents and receipts, along with identification, insurance and business cards.</w:t>
            </w:r>
          </w:p>
          <w:p w14:paraId="7390EEEB" w14:textId="0474DFA9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Broad Compatibility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The included TWAIN driver ensures compatibility with thousands of software applications and hardware systems.</w:t>
            </w:r>
          </w:p>
          <w:p w14:paraId="0CF6CACF" w14:textId="6E89A8F4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Professional-Grade Quality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Durable and reliable enough for high volume environments like hospitals, banks and busy points of sale.</w:t>
            </w:r>
          </w:p>
          <w:p w14:paraId="2021DD13" w14:textId="389EF37B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Straight-to-PDF Scanning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 xml:space="preserve">With included </w:t>
            </w:r>
            <w:proofErr w:type="spellStart"/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DocketScan</w:t>
            </w:r>
            <w:proofErr w:type="spellEnd"/>
            <w:r w:rsidRPr="00957634">
              <w:rPr>
                <w:rFonts w:asciiTheme="majorHAnsi" w:hAnsiTheme="majorHAnsi" w:cstheme="majorHAnsi"/>
                <w:sz w:val="20"/>
                <w:szCs w:val="20"/>
              </w:rPr>
              <w:t xml:space="preserve"> image acquisition software, users can scan directly to industry-standard PDF format.</w:t>
            </w:r>
          </w:p>
          <w:p w14:paraId="35FC4006" w14:textId="21B20596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AutoContinue</w:t>
            </w:r>
            <w:proofErr w:type="spellEnd"/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Function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 xml:space="preserve">This </w:t>
            </w:r>
            <w:proofErr w:type="spellStart"/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DocketScan</w:t>
            </w:r>
            <w:proofErr w:type="spellEnd"/>
            <w:r w:rsidRPr="00957634">
              <w:rPr>
                <w:rFonts w:asciiTheme="majorHAnsi" w:hAnsiTheme="majorHAnsi" w:cstheme="majorHAnsi"/>
                <w:sz w:val="20"/>
                <w:szCs w:val="20"/>
              </w:rPr>
              <w:t xml:space="preserve"> feature allows you to continuously feed media, meaning piles of documents or cards can be scanned quickly.</w:t>
            </w:r>
            <w:r w:rsidR="00987D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7DED">
              <w:rPr>
                <w:rFonts w:asciiTheme="majorHAnsi" w:hAnsiTheme="majorHAnsi" w:cstheme="majorHAnsi"/>
                <w:bCs/>
                <w:sz w:val="20"/>
                <w:szCs w:val="20"/>
              </w:rPr>
              <w:t>Scan documents as well as ID, insurance, vaccine cards and more with ease.</w:t>
            </w:r>
            <w:bookmarkStart w:id="0" w:name="_GoBack"/>
            <w:bookmarkEnd w:id="0"/>
          </w:p>
          <w:p w14:paraId="1C9B9F66" w14:textId="71785F3C" w:rsidR="00957634" w:rsidRPr="00957634" w:rsidRDefault="00957634" w:rsidP="00957634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1-Year Limited Warranty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Includes complimentary technical phone support and limited parts &amp; labor coverage.</w:t>
            </w: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2A8225B1" w14:textId="77777777" w:rsidR="00BE1F38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Programmed SN</w:t>
            </w:r>
          </w:p>
          <w:p w14:paraId="78C727A4" w14:textId="77777777" w:rsidR="00CE1960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67318B94" w14:textId="77777777" w:rsidR="00CE1960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3086F076" w14:textId="77777777" w:rsidR="00CE1960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Sheets</w:t>
            </w:r>
          </w:p>
          <w:p w14:paraId="6A9FEA2E" w14:textId="77777777" w:rsidR="00CE1960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1x Cleaning Sheet</w:t>
            </w:r>
          </w:p>
          <w:p w14:paraId="4DCADBF3" w14:textId="77777777" w:rsidR="00CE1960" w:rsidRDefault="00CE1960" w:rsidP="00CE1960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Photo Sleeves</w:t>
            </w:r>
          </w:p>
          <w:p w14:paraId="76A8B886" w14:textId="77777777" w:rsidR="00CE1960" w:rsidRDefault="00CE1960" w:rsidP="00CE1960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Envelope Sleeve</w:t>
            </w:r>
          </w:p>
          <w:p w14:paraId="397A3D69" w14:textId="0481BD3A" w:rsidR="00CE1960" w:rsidRPr="00CE1960" w:rsidRDefault="00CE1960" w:rsidP="00CE1960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Use-Guide/CD Insert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Minimum System Requirements</w:t>
            </w:r>
          </w:p>
        </w:tc>
        <w:tc>
          <w:tcPr>
            <w:tcW w:w="6930" w:type="dxa"/>
            <w:vAlign w:val="center"/>
          </w:tcPr>
          <w:p w14:paraId="70CC5159" w14:textId="727F05F9" w:rsidR="00255098" w:rsidRPr="00164558" w:rsidRDefault="00957634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Windows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CE1960">
              <w:rPr>
                <w:rFonts w:asciiTheme="majorHAnsi" w:hAnsiTheme="majorHAnsi" w:cstheme="majorHAnsi"/>
                <w:bCs/>
                <w:sz w:val="20"/>
                <w:szCs w:val="20"/>
              </w:rPr>
              <w:t>7/8/10)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946424B" w14:textId="52420737" w:rsidR="00255098" w:rsidRPr="00164558" w:rsidRDefault="00343B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432E2FCF" w:rsidR="00255098" w:rsidRPr="00164558" w:rsidRDefault="002D644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DP468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0277338D" w:rsidR="00255098" w:rsidRPr="00164558" w:rsidRDefault="00E8593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292F2167" w:rsidR="00255098" w:rsidRPr="00164558" w:rsidRDefault="002763AF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4EA92B04" w14:textId="77777777" w:rsidR="00255098" w:rsidRPr="00957634" w:rsidRDefault="00957634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12.4” x 2.0” x 1.7” (315mm x 51mm x 43mm)</w:t>
            </w:r>
          </w:p>
          <w:p w14:paraId="1DFE0674" w14:textId="4262ED89" w:rsidR="00957634" w:rsidRPr="00957634" w:rsidRDefault="00A601A0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0.80lbs (0.</w:t>
            </w:r>
            <w:r w:rsidR="00560B8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051C39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051C39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566FA9F5" w14:textId="435B9862" w:rsidR="00051C39" w:rsidRPr="00051C39" w:rsidRDefault="00051C39" w:rsidP="00051C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14.3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 xml:space="preserve"> x 5.5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 xml:space="preserve"> x 3.4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” (363.2</w:t>
            </w:r>
            <w:r w:rsidR="00553D0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mm x 139.7mm x 86.</w:t>
            </w:r>
            <w:r w:rsidR="00553D0E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mm)</w:t>
            </w:r>
          </w:p>
          <w:p w14:paraId="374F5FC5" w14:textId="46C067BF" w:rsidR="00BE1F38" w:rsidRPr="00051C39" w:rsidRDefault="00051C39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1.60lbs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 xml:space="preserve"> (0.7kg)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051C39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051C39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411E6C79" w14:textId="31C8749B" w:rsidR="00051C39" w:rsidRPr="00051C39" w:rsidRDefault="00051C39" w:rsidP="00051C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18" x 15" x 15"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 xml:space="preserve"> (457.2mm x 381mm x 381mm)</w:t>
            </w:r>
          </w:p>
          <w:p w14:paraId="54A02138" w14:textId="4C012B68" w:rsidR="00164558" w:rsidRPr="00051C39" w:rsidRDefault="00051C39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22lbs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 xml:space="preserve"> (9.98kg)</w:t>
            </w:r>
          </w:p>
          <w:p w14:paraId="6F65D2DD" w14:textId="5468797F" w:rsidR="00051C39" w:rsidRPr="00051C39" w:rsidRDefault="00051C39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Quantity: 12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0E3C4505" w:rsidR="00255098" w:rsidRPr="00164558" w:rsidRDefault="00343B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5B729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6197BC6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AAE02CB" w14:textId="678DB6BA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3FD5" w14:textId="77777777" w:rsidR="00F41FD7" w:rsidRDefault="00F41FD7">
      <w:r>
        <w:separator/>
      </w:r>
    </w:p>
  </w:endnote>
  <w:endnote w:type="continuationSeparator" w:id="0">
    <w:p w14:paraId="5FACB20F" w14:textId="77777777" w:rsidR="00F41FD7" w:rsidRDefault="00F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C1E4" w14:textId="77777777" w:rsidR="00F41FD7" w:rsidRDefault="00F41FD7">
      <w:r>
        <w:separator/>
      </w:r>
    </w:p>
  </w:footnote>
  <w:footnote w:type="continuationSeparator" w:id="0">
    <w:p w14:paraId="7B4880DD" w14:textId="77777777" w:rsidR="00F41FD7" w:rsidRDefault="00F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F41FD7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F41FD7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CSzAFm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F41FD7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BV8I9c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52C55"/>
    <w:multiLevelType w:val="hybridMultilevel"/>
    <w:tmpl w:val="CDE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35AA2"/>
    <w:rsid w:val="00051C39"/>
    <w:rsid w:val="000729DE"/>
    <w:rsid w:val="00094DCA"/>
    <w:rsid w:val="000B494D"/>
    <w:rsid w:val="000D637E"/>
    <w:rsid w:val="00106A6D"/>
    <w:rsid w:val="0011615D"/>
    <w:rsid w:val="00137CB1"/>
    <w:rsid w:val="00164558"/>
    <w:rsid w:val="001E1D4D"/>
    <w:rsid w:val="002079EC"/>
    <w:rsid w:val="00216381"/>
    <w:rsid w:val="0023492B"/>
    <w:rsid w:val="00255098"/>
    <w:rsid w:val="002578C9"/>
    <w:rsid w:val="002763AF"/>
    <w:rsid w:val="002A0D48"/>
    <w:rsid w:val="002A2B39"/>
    <w:rsid w:val="002C39F4"/>
    <w:rsid w:val="002D6448"/>
    <w:rsid w:val="003424EE"/>
    <w:rsid w:val="00343BD7"/>
    <w:rsid w:val="00387D5C"/>
    <w:rsid w:val="003B33D5"/>
    <w:rsid w:val="003C33B5"/>
    <w:rsid w:val="003F1B0C"/>
    <w:rsid w:val="00407175"/>
    <w:rsid w:val="0042175D"/>
    <w:rsid w:val="0048398B"/>
    <w:rsid w:val="0049751B"/>
    <w:rsid w:val="004D30FE"/>
    <w:rsid w:val="00503F8F"/>
    <w:rsid w:val="005048B0"/>
    <w:rsid w:val="00527E4D"/>
    <w:rsid w:val="00553D0E"/>
    <w:rsid w:val="00555223"/>
    <w:rsid w:val="00560B86"/>
    <w:rsid w:val="00565B0B"/>
    <w:rsid w:val="0056735E"/>
    <w:rsid w:val="00596BAD"/>
    <w:rsid w:val="005B7298"/>
    <w:rsid w:val="005D0081"/>
    <w:rsid w:val="006960F3"/>
    <w:rsid w:val="00697E33"/>
    <w:rsid w:val="006D6045"/>
    <w:rsid w:val="00714243"/>
    <w:rsid w:val="007639A4"/>
    <w:rsid w:val="007C0DF7"/>
    <w:rsid w:val="008233C5"/>
    <w:rsid w:val="0084674F"/>
    <w:rsid w:val="008920FE"/>
    <w:rsid w:val="00896C8F"/>
    <w:rsid w:val="008E5D08"/>
    <w:rsid w:val="009015CE"/>
    <w:rsid w:val="00907F1E"/>
    <w:rsid w:val="00916D08"/>
    <w:rsid w:val="009262FE"/>
    <w:rsid w:val="00934591"/>
    <w:rsid w:val="00957634"/>
    <w:rsid w:val="0096089F"/>
    <w:rsid w:val="00983791"/>
    <w:rsid w:val="00987DED"/>
    <w:rsid w:val="009B67CB"/>
    <w:rsid w:val="009C23EE"/>
    <w:rsid w:val="009D751E"/>
    <w:rsid w:val="009F6B48"/>
    <w:rsid w:val="00A11CB9"/>
    <w:rsid w:val="00A32736"/>
    <w:rsid w:val="00A43E7B"/>
    <w:rsid w:val="00A51C5B"/>
    <w:rsid w:val="00A601A0"/>
    <w:rsid w:val="00B429D7"/>
    <w:rsid w:val="00BA54FB"/>
    <w:rsid w:val="00BA677B"/>
    <w:rsid w:val="00BC1DA8"/>
    <w:rsid w:val="00BD20FD"/>
    <w:rsid w:val="00BE1F38"/>
    <w:rsid w:val="00BE6CF1"/>
    <w:rsid w:val="00C037DC"/>
    <w:rsid w:val="00C21E7C"/>
    <w:rsid w:val="00C36A3D"/>
    <w:rsid w:val="00C93BB1"/>
    <w:rsid w:val="00CB1BB8"/>
    <w:rsid w:val="00CB3CB4"/>
    <w:rsid w:val="00CE1960"/>
    <w:rsid w:val="00D4552E"/>
    <w:rsid w:val="00D50977"/>
    <w:rsid w:val="00D73BAB"/>
    <w:rsid w:val="00D760BE"/>
    <w:rsid w:val="00DA0E27"/>
    <w:rsid w:val="00DA4E7F"/>
    <w:rsid w:val="00DD695D"/>
    <w:rsid w:val="00DD7F03"/>
    <w:rsid w:val="00E11BF2"/>
    <w:rsid w:val="00E1743B"/>
    <w:rsid w:val="00E478F0"/>
    <w:rsid w:val="00E8593A"/>
    <w:rsid w:val="00EC7F1D"/>
    <w:rsid w:val="00F154A7"/>
    <w:rsid w:val="00F41FD7"/>
    <w:rsid w:val="00FC7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dcterms:created xsi:type="dcterms:W3CDTF">2021-01-22T03:15:00Z</dcterms:created>
  <dcterms:modified xsi:type="dcterms:W3CDTF">2021-01-22T03:15:00Z</dcterms:modified>
</cp:coreProperties>
</file>